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7347B" w14:textId="670FE6EE" w:rsidR="00D82356" w:rsidRDefault="004F09C0" w:rsidP="004F09C0">
      <w:pPr>
        <w:spacing w:after="0" w:line="259" w:lineRule="auto"/>
        <w:ind w:left="0" w:right="0" w:firstLine="0"/>
      </w:pPr>
      <w:r>
        <w:rPr>
          <w:noProof/>
        </w:rPr>
        <w:drawing>
          <wp:anchor distT="0" distB="0" distL="114300" distR="114300" simplePos="0" relativeHeight="251658240" behindDoc="1" locked="0" layoutInCell="1" allowOverlap="0" wp14:anchorId="4AE14621" wp14:editId="3E389D55">
            <wp:simplePos x="0" y="0"/>
            <wp:positionH relativeFrom="margin">
              <wp:posOffset>2818765</wp:posOffset>
            </wp:positionH>
            <wp:positionV relativeFrom="page">
              <wp:posOffset>790575</wp:posOffset>
            </wp:positionV>
            <wp:extent cx="1292077" cy="1219200"/>
            <wp:effectExtent l="0" t="0" r="3810" b="0"/>
            <wp:wrapTight wrapText="bothSides">
              <wp:wrapPolygon edited="0">
                <wp:start x="0" y="0"/>
                <wp:lineTo x="0" y="21263"/>
                <wp:lineTo x="21345" y="21263"/>
                <wp:lineTo x="21345" y="0"/>
                <wp:lineTo x="0" y="0"/>
              </wp:wrapPolygon>
            </wp:wrapTight>
            <wp:docPr id="253" name="Picture 253"/>
            <wp:cNvGraphicFramePr/>
            <a:graphic xmlns:a="http://schemas.openxmlformats.org/drawingml/2006/main">
              <a:graphicData uri="http://schemas.openxmlformats.org/drawingml/2006/picture">
                <pic:pic xmlns:pic="http://schemas.openxmlformats.org/drawingml/2006/picture">
                  <pic:nvPicPr>
                    <pic:cNvPr id="253" name="Picture 253"/>
                    <pic:cNvPicPr/>
                  </pic:nvPicPr>
                  <pic:blipFill>
                    <a:blip r:embed="rId7"/>
                    <a:stretch>
                      <a:fillRect/>
                    </a:stretch>
                  </pic:blipFill>
                  <pic:spPr>
                    <a:xfrm>
                      <a:off x="0" y="0"/>
                      <a:ext cx="1295642" cy="1222564"/>
                    </a:xfrm>
                    <a:prstGeom prst="rect">
                      <a:avLst/>
                    </a:prstGeom>
                  </pic:spPr>
                </pic:pic>
              </a:graphicData>
            </a:graphic>
            <wp14:sizeRelH relativeFrom="margin">
              <wp14:pctWidth>0</wp14:pctWidth>
            </wp14:sizeRelH>
            <wp14:sizeRelV relativeFrom="margin">
              <wp14:pctHeight>0</wp14:pctHeight>
            </wp14:sizeRelV>
          </wp:anchor>
        </w:drawing>
      </w:r>
      <w:r>
        <w:rPr>
          <w:rFonts w:cs="Calibri"/>
          <w:b/>
          <w:noProof/>
          <w:color w:val="404040"/>
        </w:rPr>
        <w:drawing>
          <wp:anchor distT="0" distB="0" distL="114300" distR="114300" simplePos="0" relativeHeight="251660288" behindDoc="1" locked="0" layoutInCell="1" allowOverlap="1" wp14:anchorId="7DACCAB6" wp14:editId="1CF88B6A">
            <wp:simplePos x="0" y="0"/>
            <wp:positionH relativeFrom="margin">
              <wp:posOffset>4380213</wp:posOffset>
            </wp:positionH>
            <wp:positionV relativeFrom="paragraph">
              <wp:posOffset>8890</wp:posOffset>
            </wp:positionV>
            <wp:extent cx="1600852" cy="800426"/>
            <wp:effectExtent l="0" t="0" r="0" b="0"/>
            <wp:wrapTight wrapText="bothSides">
              <wp:wrapPolygon edited="0">
                <wp:start x="3342" y="0"/>
                <wp:lineTo x="0" y="2057"/>
                <wp:lineTo x="514" y="16971"/>
                <wp:lineTo x="2313" y="21086"/>
                <wp:lineTo x="15422" y="21086"/>
                <wp:lineTo x="17736" y="20571"/>
                <wp:lineTo x="21334" y="18514"/>
                <wp:lineTo x="21334" y="7200"/>
                <wp:lineTo x="15422" y="1029"/>
                <wp:lineTo x="13623" y="0"/>
                <wp:lineTo x="3342" y="0"/>
              </wp:wrapPolygon>
            </wp:wrapTight>
            <wp:docPr id="157366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5776" cy="8028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403E">
        <w:rPr>
          <w:rFonts w:cs="Calibri"/>
          <w:b/>
          <w:color w:val="3A7F6E"/>
          <w:sz w:val="32"/>
        </w:rPr>
        <w:t xml:space="preserve">NEWS RELEASE </w:t>
      </w:r>
      <w:r w:rsidR="0046403E">
        <w:rPr>
          <w:rFonts w:cs="Calibri"/>
          <w:b/>
          <w:color w:val="FF0000"/>
          <w:sz w:val="32"/>
        </w:rPr>
        <w:t xml:space="preserve"> </w:t>
      </w:r>
    </w:p>
    <w:p w14:paraId="00151DD7" w14:textId="4FF5D4AD" w:rsidR="00D82356" w:rsidRDefault="0046403E" w:rsidP="004F09C0">
      <w:pPr>
        <w:spacing w:after="0" w:line="259" w:lineRule="auto"/>
        <w:ind w:left="0" w:right="0" w:firstLine="0"/>
      </w:pPr>
      <w:r>
        <w:rPr>
          <w:rFonts w:cs="Calibri"/>
          <w:b/>
          <w:color w:val="404040"/>
        </w:rPr>
        <w:t xml:space="preserve">FOR IMMEDIATE RELEASE: </w:t>
      </w:r>
      <w:r w:rsidR="006F1732">
        <w:rPr>
          <w:color w:val="404040"/>
        </w:rPr>
        <w:t>XXX</w:t>
      </w:r>
      <w:r>
        <w:rPr>
          <w:rFonts w:cs="Calibri"/>
          <w:b/>
          <w:color w:val="404040"/>
        </w:rPr>
        <w:t xml:space="preserve"> </w:t>
      </w:r>
    </w:p>
    <w:p w14:paraId="42820BDB" w14:textId="2782241D" w:rsidR="006F1732" w:rsidRDefault="0046403E" w:rsidP="004F09C0">
      <w:pPr>
        <w:spacing w:after="0" w:line="259" w:lineRule="auto"/>
        <w:ind w:left="0" w:right="213" w:firstLine="0"/>
        <w:rPr>
          <w:color w:val="404040"/>
        </w:rPr>
      </w:pPr>
      <w:r>
        <w:rPr>
          <w:rFonts w:cs="Calibri"/>
          <w:b/>
          <w:color w:val="404040"/>
        </w:rPr>
        <w:t xml:space="preserve">MEDIA CONTACT: </w:t>
      </w:r>
      <w:r w:rsidR="006F1732">
        <w:rPr>
          <w:color w:val="404040"/>
        </w:rPr>
        <w:t>Name, Title</w:t>
      </w:r>
    </w:p>
    <w:p w14:paraId="57F504EF" w14:textId="120770E0" w:rsidR="006F1732" w:rsidRDefault="006F1732" w:rsidP="004F09C0">
      <w:pPr>
        <w:spacing w:after="0" w:line="259" w:lineRule="auto"/>
        <w:ind w:left="0" w:right="213" w:firstLine="0"/>
        <w:rPr>
          <w:color w:val="404040"/>
        </w:rPr>
      </w:pPr>
      <w:r>
        <w:rPr>
          <w:color w:val="404040"/>
        </w:rPr>
        <w:t>Phone</w:t>
      </w:r>
    </w:p>
    <w:p w14:paraId="70645D83" w14:textId="42EB4CFB" w:rsidR="00D82356" w:rsidRDefault="006F1732" w:rsidP="004F09C0">
      <w:pPr>
        <w:spacing w:after="0" w:line="259" w:lineRule="auto"/>
        <w:ind w:left="0" w:right="213" w:firstLine="0"/>
      </w:pPr>
      <w:r>
        <w:rPr>
          <w:color w:val="404040"/>
        </w:rPr>
        <w:t>Email</w:t>
      </w:r>
      <w:r w:rsidR="0046403E">
        <w:rPr>
          <w:color w:val="404040"/>
        </w:rPr>
        <w:t xml:space="preserve"> </w:t>
      </w:r>
    </w:p>
    <w:p w14:paraId="5564701C" w14:textId="77777777" w:rsidR="00D82356" w:rsidRDefault="0046403E">
      <w:pPr>
        <w:spacing w:after="0" w:line="259" w:lineRule="auto"/>
        <w:ind w:left="2474" w:right="0" w:firstLine="0"/>
        <w:jc w:val="center"/>
      </w:pPr>
      <w:r>
        <w:rPr>
          <w:rFonts w:cs="Calibri"/>
          <w:b/>
          <w:sz w:val="28"/>
        </w:rPr>
        <w:t xml:space="preserve"> </w:t>
      </w:r>
    </w:p>
    <w:p w14:paraId="4895784D" w14:textId="77777777" w:rsidR="007F0411" w:rsidRDefault="007F0411">
      <w:pPr>
        <w:pStyle w:val="Heading1"/>
      </w:pPr>
    </w:p>
    <w:p w14:paraId="092DD63D" w14:textId="16C0F02E" w:rsidR="00D82356" w:rsidRDefault="0046403E" w:rsidP="00337853">
      <w:pPr>
        <w:pStyle w:val="Heading1"/>
        <w:jc w:val="center"/>
      </w:pPr>
      <w:r>
        <w:t xml:space="preserve">The Washington State Historical Society </w:t>
      </w:r>
      <w:r w:rsidR="006F1732">
        <w:t>&amp; Washington Museum Association Host State-Wide Museum Day</w:t>
      </w:r>
    </w:p>
    <w:p w14:paraId="3E80A37F" w14:textId="163AD97A" w:rsidR="00D82356" w:rsidRDefault="0046403E">
      <w:pPr>
        <w:spacing w:after="105" w:line="259" w:lineRule="auto"/>
        <w:ind w:left="-1" w:right="0" w:firstLine="0"/>
        <w:jc w:val="right"/>
      </w:pPr>
      <w:r>
        <w:t xml:space="preserve"> </w:t>
      </w:r>
    </w:p>
    <w:p w14:paraId="1C3F8F5E" w14:textId="33550387" w:rsidR="00EA71B0" w:rsidRDefault="005530B3" w:rsidP="009E0FFD">
      <w:pPr>
        <w:spacing w:after="112"/>
        <w:ind w:left="-5"/>
        <w:rPr>
          <w:rFonts w:cs="Calibri"/>
          <w:bCs/>
        </w:rPr>
      </w:pPr>
      <w:r>
        <w:rPr>
          <w:rFonts w:cs="Calibri"/>
          <w:b/>
          <w:noProof/>
        </w:rPr>
        <w:drawing>
          <wp:anchor distT="0" distB="0" distL="114300" distR="114300" simplePos="0" relativeHeight="251659264" behindDoc="0" locked="0" layoutInCell="1" allowOverlap="1" wp14:anchorId="64B82127" wp14:editId="669BCCC0">
            <wp:simplePos x="0" y="0"/>
            <wp:positionH relativeFrom="column">
              <wp:posOffset>-8255</wp:posOffset>
            </wp:positionH>
            <wp:positionV relativeFrom="paragraph">
              <wp:posOffset>-3810</wp:posOffset>
            </wp:positionV>
            <wp:extent cx="1882140" cy="867785"/>
            <wp:effectExtent l="0" t="0" r="3810" b="8890"/>
            <wp:wrapSquare wrapText="bothSides"/>
            <wp:docPr id="1147530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530402" name="Picture 114753040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2140" cy="867785"/>
                    </a:xfrm>
                    <a:prstGeom prst="rect">
                      <a:avLst/>
                    </a:prstGeom>
                  </pic:spPr>
                </pic:pic>
              </a:graphicData>
            </a:graphic>
          </wp:anchor>
        </w:drawing>
      </w:r>
      <w:r w:rsidR="004F09C0">
        <w:rPr>
          <w:rFonts w:cs="Calibri"/>
          <w:b/>
        </w:rPr>
        <w:t>[City]</w:t>
      </w:r>
      <w:r w:rsidR="008F3A96">
        <w:rPr>
          <w:rFonts w:cs="Calibri"/>
          <w:b/>
        </w:rPr>
        <w:t xml:space="preserve">, WA </w:t>
      </w:r>
      <w:r w:rsidR="00862C1B">
        <w:rPr>
          <w:rFonts w:cs="Calibri"/>
          <w:b/>
        </w:rPr>
        <w:t xml:space="preserve">– </w:t>
      </w:r>
      <w:r w:rsidR="0019276D">
        <w:rPr>
          <w:rFonts w:cs="Calibri"/>
          <w:bCs/>
        </w:rPr>
        <w:t xml:space="preserve">More than </w:t>
      </w:r>
      <w:r w:rsidR="004F09C0">
        <w:rPr>
          <w:rFonts w:cs="Calibri"/>
          <w:bCs/>
        </w:rPr>
        <w:t>100</w:t>
      </w:r>
      <w:r w:rsidR="0019276D">
        <w:rPr>
          <w:rFonts w:cs="Calibri"/>
          <w:bCs/>
        </w:rPr>
        <w:t xml:space="preserve"> museums across Washington State will open their doors at free or reduced rates to visitors </w:t>
      </w:r>
      <w:r w:rsidR="00EA71B0">
        <w:rPr>
          <w:rFonts w:cs="Calibri"/>
          <w:bCs/>
        </w:rPr>
        <w:t>on Museum Day, Saturday, August 8</w:t>
      </w:r>
      <w:r w:rsidR="007705D8">
        <w:rPr>
          <w:rFonts w:cs="Calibri"/>
          <w:bCs/>
        </w:rPr>
        <w:t>, 2026</w:t>
      </w:r>
      <w:r w:rsidR="00EA71B0">
        <w:rPr>
          <w:rFonts w:cs="Calibri"/>
          <w:bCs/>
        </w:rPr>
        <w:t xml:space="preserve">. </w:t>
      </w:r>
    </w:p>
    <w:p w14:paraId="4320EB19" w14:textId="15CB656A" w:rsidR="007F257E" w:rsidRDefault="00EA71B0" w:rsidP="007F257E">
      <w:pPr>
        <w:spacing w:after="112"/>
        <w:ind w:left="-5"/>
        <w:rPr>
          <w:lang w:val="en-US"/>
        </w:rPr>
      </w:pPr>
      <w:r w:rsidRPr="00EA71B0">
        <w:rPr>
          <w:rFonts w:cs="Calibri"/>
          <w:bCs/>
        </w:rPr>
        <w:t xml:space="preserve">Museum Day is </w:t>
      </w:r>
      <w:r w:rsidR="0019276D" w:rsidRPr="00EA71B0">
        <w:rPr>
          <w:rFonts w:cs="Calibri"/>
          <w:bCs/>
        </w:rPr>
        <w:t>part</w:t>
      </w:r>
      <w:r w:rsidR="0019276D">
        <w:rPr>
          <w:rFonts w:cs="Calibri"/>
          <w:bCs/>
        </w:rPr>
        <w:t xml:space="preserve"> of the State-wide</w:t>
      </w:r>
      <w:r>
        <w:rPr>
          <w:rFonts w:cs="Calibri"/>
          <w:bCs/>
        </w:rPr>
        <w:t xml:space="preserve"> commemoration of</w:t>
      </w:r>
      <w:r w:rsidR="0019276D">
        <w:rPr>
          <w:rFonts w:cs="Calibri"/>
          <w:bCs/>
        </w:rPr>
        <w:t xml:space="preserve"> </w:t>
      </w:r>
      <w:r>
        <w:rPr>
          <w:rFonts w:cs="Calibri"/>
          <w:bCs/>
        </w:rPr>
        <w:t xml:space="preserve">the </w:t>
      </w:r>
      <w:proofErr w:type="spellStart"/>
      <w:r w:rsidR="00B06365">
        <w:rPr>
          <w:rFonts w:cs="Calibri"/>
          <w:bCs/>
        </w:rPr>
        <w:t>s</w:t>
      </w:r>
      <w:r w:rsidR="0019276D">
        <w:rPr>
          <w:rFonts w:cs="Calibri"/>
          <w:bCs/>
        </w:rPr>
        <w:t>emiquincentenni</w:t>
      </w:r>
      <w:r>
        <w:rPr>
          <w:rFonts w:cs="Calibri"/>
          <w:bCs/>
        </w:rPr>
        <w:t>al</w:t>
      </w:r>
      <w:proofErr w:type="spellEnd"/>
      <w:r>
        <w:rPr>
          <w:rFonts w:cs="Calibri"/>
          <w:bCs/>
        </w:rPr>
        <w:t>,</w:t>
      </w:r>
      <w:r w:rsidR="008F6084">
        <w:rPr>
          <w:rFonts w:cs="Calibri"/>
          <w:bCs/>
        </w:rPr>
        <w:t xml:space="preserve"> </w:t>
      </w:r>
      <w:r w:rsidR="009E0FFD" w:rsidRPr="28E09711">
        <w:rPr>
          <w:lang w:val="en-US"/>
        </w:rPr>
        <w:t>America's 250</w:t>
      </w:r>
      <w:r w:rsidR="005530B3" w:rsidRPr="007F257E">
        <w:rPr>
          <w:vertAlign w:val="superscript"/>
          <w:lang w:val="en-US"/>
        </w:rPr>
        <w:t>th</w:t>
      </w:r>
      <w:r w:rsidR="005530B3">
        <w:rPr>
          <w:lang w:val="en-US"/>
        </w:rPr>
        <w:t xml:space="preserve"> </w:t>
      </w:r>
      <w:r w:rsidR="005530B3" w:rsidRPr="28E09711">
        <w:rPr>
          <w:lang w:val="en-US"/>
        </w:rPr>
        <w:t>anniversary</w:t>
      </w:r>
      <w:r w:rsidR="009E0FFD" w:rsidRPr="28E09711">
        <w:rPr>
          <w:lang w:val="en-US"/>
        </w:rPr>
        <w:t xml:space="preserve"> of the signing of the Declaration of Independence. Communities across Washington are preparing local events to commemorate this unforgettable year</w:t>
      </w:r>
      <w:r w:rsidR="006C3560">
        <w:rPr>
          <w:lang w:val="en-US"/>
        </w:rPr>
        <w:t xml:space="preserve">, including </w:t>
      </w:r>
      <w:r w:rsidR="007F257E">
        <w:rPr>
          <w:lang w:val="en-US"/>
        </w:rPr>
        <w:t xml:space="preserve">Museum Day, intended to promote </w:t>
      </w:r>
      <w:r w:rsidR="00E3037A">
        <w:rPr>
          <w:lang w:val="en-US"/>
        </w:rPr>
        <w:t xml:space="preserve">and share </w:t>
      </w:r>
      <w:r w:rsidR="007F257E">
        <w:rPr>
          <w:lang w:val="en-US"/>
        </w:rPr>
        <w:t xml:space="preserve">local history. </w:t>
      </w:r>
    </w:p>
    <w:p w14:paraId="46BB0E65" w14:textId="599F50F6" w:rsidR="008F6084" w:rsidRDefault="008F6084" w:rsidP="008F6084">
      <w:pPr>
        <w:spacing w:after="112"/>
        <w:ind w:left="-5"/>
        <w:rPr>
          <w:lang w:val="en-US"/>
        </w:rPr>
      </w:pPr>
      <w:r>
        <w:rPr>
          <w:lang w:val="en-US"/>
        </w:rPr>
        <w:t>For a full list of participating museums, hours of operation</w:t>
      </w:r>
      <w:r w:rsidR="006C3560">
        <w:rPr>
          <w:lang w:val="en-US"/>
        </w:rPr>
        <w:t>,</w:t>
      </w:r>
      <w:r>
        <w:rPr>
          <w:lang w:val="en-US"/>
        </w:rPr>
        <w:t xml:space="preserve"> and admissions, visit </w:t>
      </w:r>
      <w:hyperlink r:id="rId10" w:history="1">
        <w:r w:rsidR="004F09C0" w:rsidRPr="00167C2C">
          <w:rPr>
            <w:rStyle w:val="Hyperlink"/>
          </w:rPr>
          <w:t>https://washingtonmuseumassociation.org/museum-day/participating-museums</w:t>
        </w:r>
      </w:hyperlink>
      <w:r w:rsidR="004F09C0">
        <w:t xml:space="preserve">. </w:t>
      </w:r>
    </w:p>
    <w:p w14:paraId="2C0D57AE" w14:textId="10D057D0" w:rsidR="006C3560" w:rsidRPr="007F257E" w:rsidRDefault="007F257E" w:rsidP="008F6084">
      <w:pPr>
        <w:spacing w:after="112"/>
        <w:ind w:left="-5"/>
        <w:rPr>
          <w:rFonts w:cs="Calibri"/>
          <w:bCs/>
        </w:rPr>
      </w:pPr>
      <w:r w:rsidRPr="007F257E">
        <w:rPr>
          <w:rFonts w:cs="Calibri"/>
          <w:bCs/>
        </w:rPr>
        <w:t>Preserving</w:t>
      </w:r>
      <w:r>
        <w:rPr>
          <w:rFonts w:cs="Calibri"/>
          <w:bCs/>
        </w:rPr>
        <w:t xml:space="preserve"> and sharing local history for all is</w:t>
      </w:r>
      <w:r w:rsidR="00FE3364">
        <w:rPr>
          <w:rFonts w:cs="Calibri"/>
          <w:bCs/>
        </w:rPr>
        <w:t xml:space="preserve"> one of three</w:t>
      </w:r>
      <w:r>
        <w:rPr>
          <w:rFonts w:cs="Calibri"/>
          <w:bCs/>
        </w:rPr>
        <w:t xml:space="preserve"> key </w:t>
      </w:r>
      <w:r w:rsidR="00FE3364">
        <w:rPr>
          <w:rFonts w:cs="Calibri"/>
          <w:bCs/>
        </w:rPr>
        <w:t>themes</w:t>
      </w:r>
      <w:r>
        <w:rPr>
          <w:rFonts w:cs="Calibri"/>
          <w:bCs/>
        </w:rPr>
        <w:t xml:space="preserve"> in the State’s 250</w:t>
      </w:r>
      <w:r w:rsidRPr="007F257E">
        <w:rPr>
          <w:rFonts w:cs="Calibri"/>
          <w:bCs/>
          <w:vertAlign w:val="superscript"/>
        </w:rPr>
        <w:t>th</w:t>
      </w:r>
      <w:r>
        <w:rPr>
          <w:rFonts w:cs="Calibri"/>
          <w:bCs/>
        </w:rPr>
        <w:t xml:space="preserve"> initiative</w:t>
      </w:r>
      <w:r w:rsidR="00FE3364">
        <w:rPr>
          <w:rFonts w:cs="Calibri"/>
          <w:bCs/>
        </w:rPr>
        <w:t>.</w:t>
      </w:r>
    </w:p>
    <w:p w14:paraId="2C4DDD39" w14:textId="1A244232" w:rsidR="00CB753C" w:rsidRDefault="00CB753C" w:rsidP="00CB753C">
      <w:pPr>
        <w:ind w:left="-5" w:right="57"/>
      </w:pPr>
      <w:r>
        <w:t>“</w:t>
      </w:r>
      <w:r w:rsidRPr="00B06365">
        <w:t xml:space="preserve">Learning about our history, sharing our stories, and preserving our history for future generations is a key component of our approach to the </w:t>
      </w:r>
      <w:proofErr w:type="spellStart"/>
      <w:r w:rsidRPr="00B06365">
        <w:t>semiquincentennial</w:t>
      </w:r>
      <w:proofErr w:type="spellEnd"/>
      <w:r w:rsidRPr="00B06365">
        <w:t>. Here in Washington</w:t>
      </w:r>
      <w:r>
        <w:t>,</w:t>
      </w:r>
      <w:r w:rsidRPr="00B06365">
        <w:t xml:space="preserve"> we are doing that by connecting with local communities, local histories</w:t>
      </w:r>
      <w:r>
        <w:t>,</w:t>
      </w:r>
      <w:r w:rsidRPr="00B06365">
        <w:t xml:space="preserve"> and local voices</w:t>
      </w:r>
      <w:r>
        <w:t xml:space="preserve">,” says Lieutenant Governor Denny Heck. </w:t>
      </w:r>
    </w:p>
    <w:p w14:paraId="786185E6" w14:textId="000D9191" w:rsidR="0043678C" w:rsidRDefault="0043678C">
      <w:pPr>
        <w:ind w:left="-5" w:right="57"/>
      </w:pPr>
      <w:r>
        <w:t xml:space="preserve">As the </w:t>
      </w:r>
      <w:r w:rsidR="00534056">
        <w:t xml:space="preserve">Washington </w:t>
      </w:r>
      <w:proofErr w:type="spellStart"/>
      <w:r w:rsidR="00534056">
        <w:t>Semiquincentennial</w:t>
      </w:r>
      <w:proofErr w:type="spellEnd"/>
      <w:r w:rsidR="00534056">
        <w:t xml:space="preserve"> Committee</w:t>
      </w:r>
      <w:r w:rsidR="00CB5392" w:rsidRPr="00CB5392">
        <w:t xml:space="preserve"> chair</w:t>
      </w:r>
      <w:r>
        <w:t xml:space="preserve">, Lt. Governor Heck encourages </w:t>
      </w:r>
      <w:r w:rsidR="002A4ED7">
        <w:t xml:space="preserve">every Washingtonian to engage in </w:t>
      </w:r>
      <w:r w:rsidR="00661422">
        <w:t xml:space="preserve">commemorative activities this year. Museum day offers a low-barrier, often free, way to dig into </w:t>
      </w:r>
      <w:r w:rsidR="0011588B">
        <w:t>history, arts, and cultural experiences across the state!</w:t>
      </w:r>
      <w:r w:rsidR="005530B3">
        <w:t xml:space="preserve"> </w:t>
      </w:r>
    </w:p>
    <w:p w14:paraId="3942DE3A" w14:textId="77777777" w:rsidR="00D82356" w:rsidRDefault="0046403E">
      <w:pPr>
        <w:spacing w:after="160" w:line="259" w:lineRule="auto"/>
        <w:ind w:left="0" w:right="50" w:firstLine="0"/>
        <w:jc w:val="center"/>
      </w:pPr>
      <w:r>
        <w:t xml:space="preserve">### </w:t>
      </w:r>
    </w:p>
    <w:p w14:paraId="555420B9" w14:textId="77777777" w:rsidR="00D82356" w:rsidRDefault="0046403E">
      <w:pPr>
        <w:pStyle w:val="Heading2"/>
      </w:pPr>
      <w:r>
        <w:t xml:space="preserve">About The Washington State Historical Society and History Museum </w:t>
      </w:r>
    </w:p>
    <w:p w14:paraId="17784841" w14:textId="77777777" w:rsidR="00D82356" w:rsidRDefault="0046403E">
      <w:pPr>
        <w:spacing w:after="112"/>
        <w:ind w:left="-5" w:right="57"/>
      </w:pPr>
      <w:r w:rsidRPr="4ADCD878">
        <w:rPr>
          <w:lang w:val="en-US"/>
        </w:rPr>
        <w:t xml:space="preserve">The Washington State Historical Society works with our communities to explore how history connects us all. Its most prominent activity is the Washington State History Museum, located in Tacoma's Museum District on Pacific Avenue. The museum features interactive core exhibitions about Washington in the Great Hall, rotating special exhibitions, and various public events and programs that cover a wide range of historical topics. The WSHS provides curriculum resources, downloadable exhibitions, and educational support across the state, as well as consultation and resources for museums and heritage organizations. </w:t>
      </w:r>
    </w:p>
    <w:p w14:paraId="3C9FDD7E" w14:textId="77777777" w:rsidR="00345D80" w:rsidRDefault="00345D80" w:rsidP="4ADCD878">
      <w:pPr>
        <w:spacing w:after="0" w:line="259" w:lineRule="auto"/>
        <w:ind w:left="0" w:right="0" w:firstLine="0"/>
        <w:rPr>
          <w:lang w:val="en-US"/>
        </w:rPr>
      </w:pPr>
    </w:p>
    <w:p w14:paraId="2C4921A9" w14:textId="1CC7E7EE" w:rsidR="00345D80" w:rsidRPr="00674B5F" w:rsidRDefault="00345D80" w:rsidP="4ADCD878">
      <w:pPr>
        <w:spacing w:after="0" w:line="259" w:lineRule="auto"/>
        <w:ind w:left="0" w:right="0" w:firstLine="0"/>
        <w:rPr>
          <w:b/>
          <w:bCs/>
          <w:lang w:val="en-US"/>
        </w:rPr>
      </w:pPr>
      <w:r w:rsidRPr="00674B5F">
        <w:rPr>
          <w:b/>
          <w:bCs/>
          <w:lang w:val="en-US"/>
        </w:rPr>
        <w:t>About the Washington Museum Association</w:t>
      </w:r>
    </w:p>
    <w:p w14:paraId="3436EC27" w14:textId="77777777" w:rsidR="00674B5F" w:rsidRPr="00674B5F" w:rsidRDefault="00674B5F" w:rsidP="00674B5F">
      <w:pPr>
        <w:spacing w:after="0" w:line="259" w:lineRule="auto"/>
        <w:ind w:left="0" w:right="0" w:firstLine="0"/>
        <w:rPr>
          <w:lang w:val="en-US"/>
        </w:rPr>
      </w:pPr>
      <w:r w:rsidRPr="00674B5F">
        <w:rPr>
          <w:lang w:val="en-US"/>
        </w:rPr>
        <w:lastRenderedPageBreak/>
        <w:t>The Washington Museum Association (</w:t>
      </w:r>
      <w:proofErr w:type="spellStart"/>
      <w:r w:rsidRPr="00674B5F">
        <w:rPr>
          <w:lang w:val="en-US"/>
        </w:rPr>
        <w:t>WaMA</w:t>
      </w:r>
      <w:proofErr w:type="spellEnd"/>
      <w:r w:rsidRPr="00674B5F">
        <w:rPr>
          <w:lang w:val="en-US"/>
        </w:rPr>
        <w:t xml:space="preserve">) has supported Washington’s museum community since 1980, connecting museums of all types and sizes through advocacy, professional development, and networking. </w:t>
      </w:r>
      <w:proofErr w:type="spellStart"/>
      <w:r w:rsidRPr="00674B5F">
        <w:rPr>
          <w:lang w:val="en-US"/>
        </w:rPr>
        <w:t>WaMA</w:t>
      </w:r>
      <w:proofErr w:type="spellEnd"/>
      <w:r w:rsidRPr="00674B5F">
        <w:rPr>
          <w:lang w:val="en-US"/>
        </w:rPr>
        <w:t xml:space="preserve"> strengthens the capacity of museums across the state, and champions the vital role museums play within their communities. </w:t>
      </w:r>
    </w:p>
    <w:p w14:paraId="7EB99391" w14:textId="3332588D" w:rsidR="00345D80" w:rsidRDefault="009E6958" w:rsidP="4ADCD878">
      <w:pPr>
        <w:spacing w:after="0" w:line="259" w:lineRule="auto"/>
        <w:ind w:left="0" w:right="0" w:firstLine="0"/>
        <w:rPr>
          <w:lang w:val="en-US"/>
        </w:rPr>
      </w:pPr>
      <w:hyperlink r:id="rId11" w:history="1">
        <w:r w:rsidRPr="00501FED">
          <w:rPr>
            <w:rStyle w:val="Hyperlink"/>
            <w:lang w:val="en-US"/>
          </w:rPr>
          <w:t>https://washingtonmuseumassociation.org/</w:t>
        </w:r>
      </w:hyperlink>
      <w:r>
        <w:rPr>
          <w:lang w:val="en-US"/>
        </w:rPr>
        <w:t xml:space="preserve"> </w:t>
      </w:r>
    </w:p>
    <w:sectPr w:rsidR="00345D80">
      <w:pgSz w:w="12240" w:h="15840"/>
      <w:pgMar w:top="1486" w:right="1386" w:bottom="1496"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356"/>
    <w:rsid w:val="000257E3"/>
    <w:rsid w:val="00055CB5"/>
    <w:rsid w:val="000931B2"/>
    <w:rsid w:val="000E1811"/>
    <w:rsid w:val="0011588B"/>
    <w:rsid w:val="0019276D"/>
    <w:rsid w:val="001C68DE"/>
    <w:rsid w:val="00260441"/>
    <w:rsid w:val="00285B3E"/>
    <w:rsid w:val="00296152"/>
    <w:rsid w:val="002A4ED7"/>
    <w:rsid w:val="00300AAD"/>
    <w:rsid w:val="00302C7F"/>
    <w:rsid w:val="00312A93"/>
    <w:rsid w:val="00337853"/>
    <w:rsid w:val="00345D80"/>
    <w:rsid w:val="003603DA"/>
    <w:rsid w:val="0043678C"/>
    <w:rsid w:val="0046403E"/>
    <w:rsid w:val="004A226C"/>
    <w:rsid w:val="004E56FC"/>
    <w:rsid w:val="004F09C0"/>
    <w:rsid w:val="00534056"/>
    <w:rsid w:val="005530B3"/>
    <w:rsid w:val="005E290C"/>
    <w:rsid w:val="00661422"/>
    <w:rsid w:val="0067005F"/>
    <w:rsid w:val="00674B5F"/>
    <w:rsid w:val="006821BB"/>
    <w:rsid w:val="006A05AC"/>
    <w:rsid w:val="006C3560"/>
    <w:rsid w:val="006E0BC3"/>
    <w:rsid w:val="006F1732"/>
    <w:rsid w:val="006F5AE6"/>
    <w:rsid w:val="00720F4F"/>
    <w:rsid w:val="00746A5D"/>
    <w:rsid w:val="007705D8"/>
    <w:rsid w:val="00774A39"/>
    <w:rsid w:val="007E2FC7"/>
    <w:rsid w:val="007F0411"/>
    <w:rsid w:val="007F257E"/>
    <w:rsid w:val="007F2B62"/>
    <w:rsid w:val="008237DD"/>
    <w:rsid w:val="00832A2C"/>
    <w:rsid w:val="00862C1B"/>
    <w:rsid w:val="008970D0"/>
    <w:rsid w:val="008A77E8"/>
    <w:rsid w:val="008E7438"/>
    <w:rsid w:val="008F3A96"/>
    <w:rsid w:val="008F6084"/>
    <w:rsid w:val="00943471"/>
    <w:rsid w:val="009B3121"/>
    <w:rsid w:val="009E0FFD"/>
    <w:rsid w:val="009E6958"/>
    <w:rsid w:val="00A527C2"/>
    <w:rsid w:val="00AC24F7"/>
    <w:rsid w:val="00B06365"/>
    <w:rsid w:val="00BD2070"/>
    <w:rsid w:val="00BD4B48"/>
    <w:rsid w:val="00BE0E73"/>
    <w:rsid w:val="00C10D0F"/>
    <w:rsid w:val="00CA297E"/>
    <w:rsid w:val="00CB5392"/>
    <w:rsid w:val="00CB753C"/>
    <w:rsid w:val="00D5675C"/>
    <w:rsid w:val="00D82356"/>
    <w:rsid w:val="00DF0A76"/>
    <w:rsid w:val="00E3037A"/>
    <w:rsid w:val="00EA71B0"/>
    <w:rsid w:val="00F34ADB"/>
    <w:rsid w:val="00F52935"/>
    <w:rsid w:val="00F96F77"/>
    <w:rsid w:val="00FC6EA4"/>
    <w:rsid w:val="00FE3364"/>
    <w:rsid w:val="4ADCD8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42E0"/>
  <w15:docId w15:val="{6D747DC9-0FDE-034D-A073-46D16259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0" w:line="250" w:lineRule="auto"/>
      <w:ind w:left="10" w:right="10" w:hanging="10"/>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20" w:line="288" w:lineRule="auto"/>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line="259" w:lineRule="auto"/>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8"/>
    </w:rPr>
  </w:style>
  <w:style w:type="character" w:styleId="Hyperlink">
    <w:name w:val="Hyperlink"/>
    <w:basedOn w:val="DefaultParagraphFont"/>
    <w:uiPriority w:val="99"/>
    <w:unhideWhenUsed/>
    <w:rsid w:val="00862C1B"/>
    <w:rPr>
      <w:color w:val="467886" w:themeColor="hyperlink"/>
      <w:u w:val="single"/>
    </w:rPr>
  </w:style>
  <w:style w:type="character" w:styleId="UnresolvedMention">
    <w:name w:val="Unresolved Mention"/>
    <w:basedOn w:val="DefaultParagraphFont"/>
    <w:uiPriority w:val="99"/>
    <w:semiHidden/>
    <w:unhideWhenUsed/>
    <w:rsid w:val="00862C1B"/>
    <w:rPr>
      <w:color w:val="605E5C"/>
      <w:shd w:val="clear" w:color="auto" w:fill="E1DFDD"/>
    </w:rPr>
  </w:style>
  <w:style w:type="character" w:styleId="CommentReference">
    <w:name w:val="annotation reference"/>
    <w:basedOn w:val="DefaultParagraphFont"/>
    <w:uiPriority w:val="99"/>
    <w:semiHidden/>
    <w:unhideWhenUsed/>
    <w:rsid w:val="00BE0E73"/>
    <w:rPr>
      <w:sz w:val="16"/>
      <w:szCs w:val="16"/>
    </w:rPr>
  </w:style>
  <w:style w:type="paragraph" w:styleId="CommentText">
    <w:name w:val="annotation text"/>
    <w:basedOn w:val="Normal"/>
    <w:link w:val="CommentTextChar"/>
    <w:uiPriority w:val="99"/>
    <w:unhideWhenUsed/>
    <w:rsid w:val="00BE0E73"/>
    <w:pPr>
      <w:spacing w:after="160" w:line="240" w:lineRule="auto"/>
      <w:ind w:left="0" w:right="0" w:firstLine="0"/>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rsid w:val="00BE0E73"/>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ashingtonmuseumassociation.org/" TargetMode="External"/><Relationship Id="rId5" Type="http://schemas.openxmlformats.org/officeDocument/2006/relationships/settings" Target="settings.xml"/><Relationship Id="rId10" Type="http://schemas.openxmlformats.org/officeDocument/2006/relationships/hyperlink" Target="https://washingtonmuseumassociation.org/museum-day/participating-museums" TargetMode="Externa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51AC11B060745BA3E4B1487688BCD" ma:contentTypeVersion="16" ma:contentTypeDescription="Create a new document." ma:contentTypeScope="" ma:versionID="bc4840886743cfa9777f2046fb68ea6e">
  <xsd:schema xmlns:xsd="http://www.w3.org/2001/XMLSchema" xmlns:xs="http://www.w3.org/2001/XMLSchema" xmlns:p="http://schemas.microsoft.com/office/2006/metadata/properties" xmlns:ns2="dda1ca2b-bb77-4d57-b7d8-df8eb388c687" xmlns:ns3="8d6edc48-048c-4bb5-a20d-6d2135828d93" targetNamespace="http://schemas.microsoft.com/office/2006/metadata/properties" ma:root="true" ma:fieldsID="e948b5566ba9883ceee2931d76389e73" ns2:_="" ns3:_="">
    <xsd:import namespace="dda1ca2b-bb77-4d57-b7d8-df8eb388c687"/>
    <xsd:import namespace="8d6edc48-048c-4bb5-a20d-6d2135828d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Image"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1ca2b-bb77-4d57-b7d8-df8eb388c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Image" ma:index="12" nillable="true" ma:displayName="Image" ma:format="Thumbnail" ma:internalName="Imag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4dbfe38-fc61-44ac-b103-960f27f35de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6edc48-048c-4bb5-a20d-6d2135828d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6f18c51-e72a-44b6-942c-051d76a06198}" ma:internalName="TaxCatchAll" ma:showField="CatchAllData" ma:web="8d6edc48-048c-4bb5-a20d-6d2135828d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a1ca2b-bb77-4d57-b7d8-df8eb388c687">
      <Terms xmlns="http://schemas.microsoft.com/office/infopath/2007/PartnerControls"/>
    </lcf76f155ced4ddcb4097134ff3c332f>
    <TaxCatchAll xmlns="8d6edc48-048c-4bb5-a20d-6d2135828d93" xsi:nil="true"/>
    <Image xmlns="dda1ca2b-bb77-4d57-b7d8-df8eb388c6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B02BE6-17F7-4640-AB6E-28C05DA13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1ca2b-bb77-4d57-b7d8-df8eb388c687"/>
    <ds:schemaRef ds:uri="8d6edc48-048c-4bb5-a20d-6d2135828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B0E64D-7663-43ED-96C1-70346F790C2F}">
  <ds:schemaRefs>
    <ds:schemaRef ds:uri="http://schemas.microsoft.com/office/2006/metadata/properties"/>
    <ds:schemaRef ds:uri="http://schemas.microsoft.com/office/infopath/2007/PartnerControls"/>
    <ds:schemaRef ds:uri="dda1ca2b-bb77-4d57-b7d8-df8eb388c687"/>
    <ds:schemaRef ds:uri="8d6edc48-048c-4bb5-a20d-6d2135828d93"/>
  </ds:schemaRefs>
</ds:datastoreItem>
</file>

<file path=customXml/itemProps3.xml><?xml version="1.0" encoding="utf-8"?>
<ds:datastoreItem xmlns:ds="http://schemas.openxmlformats.org/officeDocument/2006/customXml" ds:itemID="{FCB7C1FC-09D7-4813-BB88-FAB7AEE9BB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Beals</dc:creator>
  <cp:keywords/>
  <cp:lastModifiedBy>Kristen Heidenthal</cp:lastModifiedBy>
  <cp:revision>2</cp:revision>
  <dcterms:created xsi:type="dcterms:W3CDTF">2026-06-30T22:27:00Z</dcterms:created>
  <dcterms:modified xsi:type="dcterms:W3CDTF">2026-06-30T22:27:00Z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0x01010061651AC11B060745BA3E4B1487688BCD</vt:lpwstr>
  </property>
  <property fmtid="{D5CDD505-2E9C-101B-9397-08002B2CF9AE}" pid="3" name="MediaServiceImageTags">
    <vt:lpwstr/>
  </property>
  <property fmtid="{D5CDD505-2E9C-101B-9397-08002B2CF9AE}" pid="4" name="GrammarlyDocumentId">
    <vt:lpwstr>b9d9b423-290f-4343-b3c6-cc414a791109</vt:lpwstr>
  </property>
</Properties>
</file>